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8B" w:rsidRPr="0071158B" w:rsidRDefault="0071158B" w:rsidP="0071158B">
      <w:pPr>
        <w:ind w:left="-284" w:hanging="472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 w:rsidRPr="0071158B">
        <w:rPr>
          <w:rFonts w:ascii="Times New Roman" w:hAnsi="Times New Roman" w:cs="Times New Roman"/>
          <w:sz w:val="24"/>
          <w:szCs w:val="24"/>
          <w:lang w:val="sr-Cyrl-RS"/>
        </w:rPr>
        <w:t xml:space="preserve">Питања везана за конкурсну документацију </w:t>
      </w:r>
      <w:r w:rsidRPr="0071158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Услуге подбушивања</w:t>
      </w:r>
      <w:r w:rsidRPr="0071158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бр. </w:t>
      </w:r>
      <w:r w:rsidRPr="0071158B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CS" w:eastAsia="en-US"/>
        </w:rPr>
        <w:t>02-</w:t>
      </w:r>
      <w:r w:rsidRPr="0071158B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Latn-CS" w:eastAsia="en-US"/>
        </w:rPr>
        <w:t>37</w:t>
      </w:r>
      <w:r w:rsidRPr="0071158B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CS" w:eastAsia="en-US"/>
        </w:rPr>
        <w:t>/</w:t>
      </w:r>
      <w:r w:rsidRPr="0071158B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Latn-CS" w:eastAsia="en-US"/>
        </w:rPr>
        <w:t>47-</w:t>
      </w:r>
      <w:r w:rsidRPr="0071158B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CS" w:eastAsia="en-US"/>
        </w:rPr>
        <w:t>201</w:t>
      </w:r>
      <w:r w:rsidRPr="0071158B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Latn-CS" w:eastAsia="en-US"/>
        </w:rPr>
        <w:t>7-</w:t>
      </w:r>
      <w:r w:rsidRPr="0071158B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CS" w:eastAsia="en-US"/>
        </w:rPr>
        <w:t xml:space="preserve"> ЈНМВ</w:t>
      </w:r>
      <w:r w:rsidRPr="0071158B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Latn-CS" w:eastAsia="en-US"/>
        </w:rPr>
        <w:t xml:space="preserve"> 4</w:t>
      </w:r>
    </w:p>
    <w:p w:rsidR="0071158B" w:rsidRPr="0071158B" w:rsidRDefault="0071158B" w:rsidP="0071158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158B" w:rsidRPr="0071158B" w:rsidRDefault="0071158B" w:rsidP="007115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У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вези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наведеном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конкурсном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документацијом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молимо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одговоре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ниже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постављена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питања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као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допуну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Модела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уговора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ниже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наведеном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1158B" w:rsidRPr="0071158B" w:rsidRDefault="0071158B" w:rsidP="0071158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1158B" w:rsidRPr="0071158B" w:rsidRDefault="0071158B" w:rsidP="007115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proofErr w:type="gram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proofErr w:type="gram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ли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технички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капацитет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могуће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доказати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копијом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књиговодствене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картице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тражена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средства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уместо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копијом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пописне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листе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1158B" w:rsidRPr="0071158B" w:rsidRDefault="0071158B" w:rsidP="0071158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1158B" w:rsidRPr="0071158B" w:rsidRDefault="0071158B" w:rsidP="007115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2. У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моделу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уговора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уместо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термина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Понуђач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користити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термин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Извођач</w:t>
      </w:r>
      <w:proofErr w:type="spellEnd"/>
    </w:p>
    <w:p w:rsidR="0071158B" w:rsidRPr="0071158B" w:rsidRDefault="0071158B" w:rsidP="0071158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1158B" w:rsidRPr="0071158B" w:rsidRDefault="0071158B" w:rsidP="007115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proofErr w:type="gram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допунити</w:t>
      </w:r>
      <w:proofErr w:type="spellEnd"/>
      <w:proofErr w:type="gram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модел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уговора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одредбама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о:</w:t>
      </w:r>
    </w:p>
    <w:p w:rsidR="0071158B" w:rsidRPr="0071158B" w:rsidRDefault="0071158B" w:rsidP="007115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158B">
        <w:rPr>
          <w:rFonts w:ascii="Times New Roman" w:hAnsi="Times New Roman" w:cs="Times New Roman"/>
          <w:sz w:val="24"/>
          <w:szCs w:val="24"/>
          <w:lang w:val="en-US"/>
        </w:rPr>
        <w:t>3.1</w:t>
      </w:r>
      <w:proofErr w:type="gramStart"/>
      <w:r w:rsidRPr="0071158B">
        <w:rPr>
          <w:rFonts w:ascii="Times New Roman" w:hAnsi="Times New Roman" w:cs="Times New Roman"/>
          <w:sz w:val="24"/>
          <w:szCs w:val="24"/>
          <w:lang w:val="en-US"/>
        </w:rPr>
        <w:t>.  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увођењу</w:t>
      </w:r>
      <w:proofErr w:type="spellEnd"/>
      <w:proofErr w:type="gram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Извођача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посао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71158B" w:rsidRPr="0071158B" w:rsidRDefault="0071158B" w:rsidP="007115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3.2. </w:t>
      </w:r>
      <w:proofErr w:type="spellStart"/>
      <w:proofErr w:type="gram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начину</w:t>
      </w:r>
      <w:proofErr w:type="spellEnd"/>
      <w:proofErr w:type="gram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примoпредаје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услуга</w:t>
      </w:r>
      <w:proofErr w:type="spellEnd"/>
    </w:p>
    <w:p w:rsidR="0071158B" w:rsidRPr="0071158B" w:rsidRDefault="0071158B" w:rsidP="007115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3.3. </w:t>
      </w:r>
      <w:proofErr w:type="gram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о</w:t>
      </w:r>
      <w:proofErr w:type="gram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начину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обрачуна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извршених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услуга</w:t>
      </w:r>
      <w:proofErr w:type="spellEnd"/>
    </w:p>
    <w:p w:rsidR="0071158B" w:rsidRPr="0071158B" w:rsidRDefault="0071158B" w:rsidP="007115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3.4. </w:t>
      </w:r>
      <w:proofErr w:type="spellStart"/>
      <w:proofErr w:type="gramStart"/>
      <w:r w:rsidRPr="0071158B">
        <w:rPr>
          <w:rFonts w:ascii="Times New Roman" w:hAnsi="Times New Roman" w:cs="Times New Roman"/>
          <w:sz w:val="24"/>
          <w:szCs w:val="24"/>
          <w:lang w:val="en-US"/>
        </w:rPr>
        <w:t>услови</w:t>
      </w:r>
      <w:proofErr w:type="spellEnd"/>
      <w:proofErr w:type="gram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под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којим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извођач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има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право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продужење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рока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извршење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услуга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начин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остварује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ово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право</w:t>
      </w:r>
      <w:proofErr w:type="spellEnd"/>
    </w:p>
    <w:p w:rsidR="0071158B" w:rsidRPr="0071158B" w:rsidRDefault="0071158B" w:rsidP="007115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3.5. </w:t>
      </w:r>
      <w:proofErr w:type="spellStart"/>
      <w:proofErr w:type="gram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права</w:t>
      </w:r>
      <w:proofErr w:type="spellEnd"/>
      <w:proofErr w:type="gram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обавезе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страна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Наручиоца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Извођача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1158B" w:rsidRPr="0071158B" w:rsidRDefault="0071158B" w:rsidP="007115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3.6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виша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сила</w:t>
      </w:r>
      <w:proofErr w:type="spellEnd"/>
    </w:p>
    <w:p w:rsidR="0071158B" w:rsidRPr="0071158B" w:rsidRDefault="0071158B" w:rsidP="007115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3.7. </w:t>
      </w:r>
      <w:proofErr w:type="spellStart"/>
      <w:proofErr w:type="gramStart"/>
      <w:r w:rsidRPr="0071158B">
        <w:rPr>
          <w:rFonts w:ascii="Times New Roman" w:hAnsi="Times New Roman" w:cs="Times New Roman"/>
          <w:sz w:val="24"/>
          <w:szCs w:val="24"/>
          <w:lang w:val="en-US"/>
        </w:rPr>
        <w:t>рок</w:t>
      </w:r>
      <w:proofErr w:type="spellEnd"/>
      <w:proofErr w:type="gram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важности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уговора</w:t>
      </w:r>
      <w:proofErr w:type="spellEnd"/>
    </w:p>
    <w:p w:rsidR="0071158B" w:rsidRPr="0071158B" w:rsidRDefault="0071158B" w:rsidP="0071158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1158B" w:rsidRPr="0071158B" w:rsidRDefault="0071158B" w:rsidP="0071158B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Молимо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складу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ЗоЈН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потврдите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пријем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овог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захтева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додатним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B">
        <w:rPr>
          <w:rFonts w:ascii="Times New Roman" w:hAnsi="Times New Roman" w:cs="Times New Roman"/>
          <w:sz w:val="24"/>
          <w:szCs w:val="24"/>
          <w:lang w:val="en-US"/>
        </w:rPr>
        <w:t>информацијама</w:t>
      </w:r>
      <w:proofErr w:type="spellEnd"/>
      <w:r w:rsidRPr="0071158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1158B" w:rsidRPr="0071158B" w:rsidRDefault="0071158B" w:rsidP="0071158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158B" w:rsidRPr="0071158B" w:rsidRDefault="0071158B" w:rsidP="0071158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1158B">
        <w:rPr>
          <w:rFonts w:ascii="Times New Roman" w:hAnsi="Times New Roman" w:cs="Times New Roman"/>
          <w:sz w:val="24"/>
          <w:szCs w:val="24"/>
          <w:lang w:val="sr-Cyrl-RS"/>
        </w:rPr>
        <w:t>Одговор:</w:t>
      </w:r>
    </w:p>
    <w:p w:rsidR="007144B6" w:rsidRPr="0071158B" w:rsidRDefault="00F247A3" w:rsidP="006E1E99">
      <w:pPr>
        <w:pStyle w:val="ListParagraph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Може</w:t>
      </w:r>
      <w:r w:rsidR="0071158B" w:rsidRPr="0071158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1158B" w:rsidRPr="0071158B" w:rsidRDefault="0071158B" w:rsidP="006E1E99">
      <w:pPr>
        <w:pStyle w:val="ListParagraph"/>
        <w:numPr>
          <w:ilvl w:val="0"/>
          <w:numId w:val="1"/>
        </w:numPr>
        <w:ind w:left="-284" w:right="-709" w:hanging="29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 w:rsidRPr="0071158B">
        <w:rPr>
          <w:rFonts w:ascii="Times New Roman" w:hAnsi="Times New Roman" w:cs="Times New Roman"/>
          <w:sz w:val="24"/>
          <w:szCs w:val="24"/>
          <w:lang w:val="sr-Cyrl-RS"/>
        </w:rPr>
        <w:t xml:space="preserve">У току подношења понуда за јавну набавку мале вредности </w:t>
      </w:r>
      <w:r w:rsidRPr="0071158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Услуге подбушивања бр. </w:t>
      </w:r>
      <w:r w:rsidRPr="0071158B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CS" w:eastAsia="en-US"/>
        </w:rPr>
        <w:t>02-</w:t>
      </w:r>
      <w:r w:rsidRPr="0071158B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Latn-CS" w:eastAsia="en-US"/>
        </w:rPr>
        <w:t>37</w:t>
      </w:r>
      <w:r w:rsidRPr="0071158B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CS" w:eastAsia="en-US"/>
        </w:rPr>
        <w:t>/</w:t>
      </w:r>
      <w:r w:rsidRPr="0071158B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Latn-CS" w:eastAsia="en-US"/>
        </w:rPr>
        <w:t>47-</w:t>
      </w:r>
      <w:r w:rsidRPr="0071158B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CS" w:eastAsia="en-US"/>
        </w:rPr>
        <w:t>201</w:t>
      </w:r>
      <w:r w:rsidRPr="0071158B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Latn-CS" w:eastAsia="en-US"/>
        </w:rPr>
        <w:t>7-</w:t>
      </w:r>
      <w:r w:rsidRPr="0071158B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CS" w:eastAsia="en-US"/>
        </w:rPr>
        <w:t>ЈНМВ</w:t>
      </w:r>
      <w:r w:rsidRPr="0071158B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Latn-CS" w:eastAsia="en-US"/>
        </w:rPr>
        <w:t>4</w:t>
      </w:r>
      <w:r w:rsidRPr="0071158B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RS" w:eastAsia="en-US"/>
        </w:rPr>
        <w:t>, до доношења Одлуке о додели уговора сви подносиоци понуда су Понуђачи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RS" w:eastAsia="en-US"/>
        </w:rPr>
        <w:t xml:space="preserve">, тако да ће закључењем конкретног уговора из модела уговора произаћи да уместо Понуђача стоји </w:t>
      </w:r>
      <w:r w:rsidR="00F247A3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RS" w:eastAsia="en-US"/>
        </w:rPr>
        <w:t>Извршилац</w:t>
      </w:r>
      <w:r w:rsidR="00354B6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RS" w:eastAsia="en-US"/>
        </w:rPr>
        <w:t xml:space="preserve"> услуга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RS" w:eastAsia="en-US"/>
        </w:rPr>
        <w:t>.</w:t>
      </w:r>
    </w:p>
    <w:p w:rsidR="0071158B" w:rsidRPr="00F247A3" w:rsidRDefault="0071158B" w:rsidP="00F247A3">
      <w:pPr>
        <w:pStyle w:val="ListParagraph"/>
        <w:numPr>
          <w:ilvl w:val="0"/>
          <w:numId w:val="1"/>
        </w:numPr>
        <w:ind w:left="-284" w:right="-709" w:hanging="29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Модел уговора садрж</w:t>
      </w:r>
      <w:r w:rsidR="006E1E99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све битне елементе на основу којег се може з</w:t>
      </w:r>
      <w:r w:rsidR="006E1E99">
        <w:rPr>
          <w:rFonts w:ascii="Times New Roman" w:hAnsi="Times New Roman" w:cs="Times New Roman"/>
          <w:sz w:val="24"/>
          <w:szCs w:val="24"/>
          <w:lang w:val="sr-Cyrl-RS"/>
        </w:rPr>
        <w:t xml:space="preserve">акључити конкретан Уговор са изабраним </w:t>
      </w:r>
      <w:r w:rsidR="00F247A3">
        <w:rPr>
          <w:rFonts w:ascii="Times New Roman" w:hAnsi="Times New Roman" w:cs="Times New Roman"/>
          <w:sz w:val="24"/>
          <w:szCs w:val="24"/>
          <w:lang w:val="sr-Cyrl-RS"/>
        </w:rPr>
        <w:t>Извршиоцем</w:t>
      </w:r>
      <w:r w:rsidR="006E1E99">
        <w:rPr>
          <w:rFonts w:ascii="Times New Roman" w:hAnsi="Times New Roman" w:cs="Times New Roman"/>
          <w:sz w:val="24"/>
          <w:szCs w:val="24"/>
          <w:lang w:val="sr-Cyrl-RS"/>
        </w:rPr>
        <w:t xml:space="preserve">, који ће се кориговати на основу понуде изабраног </w:t>
      </w:r>
      <w:r w:rsidR="00F247A3">
        <w:rPr>
          <w:rFonts w:ascii="Times New Roman" w:hAnsi="Times New Roman" w:cs="Times New Roman"/>
          <w:sz w:val="24"/>
          <w:szCs w:val="24"/>
          <w:lang w:val="sr-Cyrl-RS"/>
        </w:rPr>
        <w:t xml:space="preserve">Извршиоца. Обрачун ће се вршити на основу </w:t>
      </w:r>
      <w:r w:rsidR="00354B68">
        <w:rPr>
          <w:rFonts w:ascii="Times New Roman" w:hAnsi="Times New Roman" w:cs="Times New Roman"/>
          <w:sz w:val="24"/>
          <w:szCs w:val="24"/>
          <w:lang w:val="sr-Cyrl-RS"/>
        </w:rPr>
        <w:t xml:space="preserve">вођења Грађевинслког </w:t>
      </w:r>
      <w:r w:rsidR="00F247A3">
        <w:rPr>
          <w:rFonts w:ascii="Times New Roman" w:hAnsi="Times New Roman" w:cs="Times New Roman"/>
          <w:sz w:val="24"/>
          <w:szCs w:val="24"/>
          <w:lang w:val="sr-Cyrl-RS"/>
        </w:rPr>
        <w:t>дневника</w:t>
      </w:r>
      <w:r w:rsidR="00354B68">
        <w:rPr>
          <w:rFonts w:ascii="Times New Roman" w:hAnsi="Times New Roman" w:cs="Times New Roman"/>
          <w:sz w:val="24"/>
          <w:szCs w:val="24"/>
          <w:lang w:val="sr-Cyrl-RS"/>
        </w:rPr>
        <w:t xml:space="preserve"> и Грађевинске књиге</w:t>
      </w:r>
      <w:r w:rsidR="00F247A3">
        <w:rPr>
          <w:rFonts w:ascii="Times New Roman" w:hAnsi="Times New Roman" w:cs="Times New Roman"/>
          <w:sz w:val="24"/>
          <w:szCs w:val="24"/>
          <w:lang w:val="sr-Cyrl-RS"/>
        </w:rPr>
        <w:t xml:space="preserve"> извршених услуга. </w:t>
      </w:r>
      <w:r w:rsidR="00354B68">
        <w:rPr>
          <w:rFonts w:ascii="Times New Roman" w:hAnsi="Times New Roman" w:cs="Times New Roman"/>
          <w:sz w:val="24"/>
          <w:szCs w:val="24"/>
          <w:lang w:val="sr-Cyrl-RS"/>
        </w:rPr>
        <w:t>У случају више силе, рок за извршење услуга помера се за онолико дана колико је иста трајала</w:t>
      </w:r>
      <w:r w:rsidR="00F247A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247A3" w:rsidRPr="00F247A3">
        <w:rPr>
          <w:rFonts w:ascii="Times New Roman" w:hAnsi="Times New Roman" w:cs="Times New Roman"/>
          <w:sz w:val="24"/>
          <w:szCs w:val="24"/>
          <w:lang w:val="sr-Cyrl-RS"/>
        </w:rPr>
        <w:t>Набавка је једнократна</w:t>
      </w:r>
      <w:r w:rsidR="00354B68">
        <w:rPr>
          <w:rFonts w:ascii="Times New Roman" w:hAnsi="Times New Roman" w:cs="Times New Roman"/>
          <w:sz w:val="24"/>
          <w:szCs w:val="24"/>
          <w:lang w:val="sr-Cyrl-RS"/>
        </w:rPr>
        <w:t>,</w:t>
      </w:r>
      <w:bookmarkStart w:id="0" w:name="_GoBack"/>
      <w:bookmarkEnd w:id="0"/>
      <w:r w:rsidR="00F247A3" w:rsidRPr="00F247A3">
        <w:rPr>
          <w:rFonts w:ascii="Times New Roman" w:hAnsi="Times New Roman" w:cs="Times New Roman"/>
          <w:sz w:val="24"/>
          <w:szCs w:val="24"/>
          <w:lang w:val="sr-Cyrl-RS"/>
        </w:rPr>
        <w:t xml:space="preserve"> а в</w:t>
      </w:r>
      <w:r w:rsidR="006E1E99" w:rsidRPr="00F247A3">
        <w:rPr>
          <w:rFonts w:ascii="Times New Roman" w:hAnsi="Times New Roman" w:cs="Times New Roman"/>
          <w:sz w:val="24"/>
          <w:szCs w:val="24"/>
          <w:lang w:val="sr-Cyrl-RS"/>
        </w:rPr>
        <w:t>ажност уговора је до извршења уговорених услуга.</w:t>
      </w:r>
      <w:r w:rsidRPr="00F247A3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RS" w:eastAsia="en-US"/>
        </w:rPr>
        <w:t xml:space="preserve"> </w:t>
      </w:r>
    </w:p>
    <w:p w:rsidR="0071158B" w:rsidRPr="0071158B" w:rsidRDefault="0071158B" w:rsidP="006E1E9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1158B" w:rsidRPr="00711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6097"/>
    <w:multiLevelType w:val="hybridMultilevel"/>
    <w:tmpl w:val="6F36F928"/>
    <w:lvl w:ilvl="0" w:tplc="5DF88186">
      <w:start w:val="1"/>
      <w:numFmt w:val="bullet"/>
      <w:lvlText w:val="-"/>
      <w:lvlJc w:val="left"/>
      <w:pPr>
        <w:ind w:left="76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76E33381"/>
    <w:multiLevelType w:val="hybridMultilevel"/>
    <w:tmpl w:val="9FFAA57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8B"/>
    <w:rsid w:val="00354B68"/>
    <w:rsid w:val="006E1E99"/>
    <w:rsid w:val="0071158B"/>
    <w:rsid w:val="007144B6"/>
    <w:rsid w:val="00F2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58B"/>
    <w:pPr>
      <w:spacing w:after="0" w:line="240" w:lineRule="auto"/>
    </w:pPr>
    <w:rPr>
      <w:rFonts w:ascii="Calibri" w:eastAsia="Calibri" w:hAnsi="Calibri" w:cs="Calibri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58B"/>
    <w:pPr>
      <w:spacing w:after="0" w:line="240" w:lineRule="auto"/>
    </w:pPr>
    <w:rPr>
      <w:rFonts w:ascii="Calibri" w:eastAsia="Calibri" w:hAnsi="Calibri" w:cs="Calibri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Stanković</dc:creator>
  <cp:lastModifiedBy>Jovanka Stanković</cp:lastModifiedBy>
  <cp:revision>1</cp:revision>
  <dcterms:created xsi:type="dcterms:W3CDTF">2017-03-20T06:54:00Z</dcterms:created>
  <dcterms:modified xsi:type="dcterms:W3CDTF">2017-03-20T07:40:00Z</dcterms:modified>
</cp:coreProperties>
</file>