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9" w:rsidRPr="00F474B5" w:rsidRDefault="002B3509" w:rsidP="000A37D9">
      <w:pPr>
        <w:tabs>
          <w:tab w:val="center" w:pos="470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PITANJA</w:t>
      </w:r>
      <w:r w:rsidR="003C75A0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 VEZAN</w:t>
      </w:r>
      <w:r w:rsidR="00F474B5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A </w:t>
      </w:r>
      <w:r w:rsidR="003C75A0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 ZA NABAVKU</w:t>
      </w:r>
      <w:r w:rsidR="00F474B5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: </w:t>
      </w:r>
      <w:r w:rsidR="003C75A0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 IZRADA INFORMACIONOG SISTEMA PREDUZEĆA </w:t>
      </w:r>
      <w:r w:rsidR="00F474B5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3C75A0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BROJ 02-37/46-2016- JP31</w:t>
      </w: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:</w:t>
      </w:r>
    </w:p>
    <w:p w:rsidR="002A75B0" w:rsidRPr="00F474B5" w:rsidRDefault="002A75B0" w:rsidP="000A37D9">
      <w:pPr>
        <w:tabs>
          <w:tab w:val="center" w:pos="470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1.      Tehnički uslovi </w:t>
      </w:r>
      <w:r w:rsidR="002B3509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Platforma baze podataka. </w:t>
      </w:r>
      <w:r w:rsidR="000A37D9"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ab/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Navedeno je da svaka poslovna godina treba da bude razdvojena u zasebnu bazu podataka za određenu godinu i da svaka ne</w:t>
      </w:r>
      <w:bookmarkStart w:id="0" w:name="_GoBack"/>
      <w:bookmarkEnd w:id="0"/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aktivna godina mora biti dostupna u režimu read-only. Da li je zadovoljavaju</w:t>
      </w:r>
      <w:r w:rsidR="00B75C42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ć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e da sve godin budu u istoj bazi podataka a da neaktivne godine budu dostupne u režimu read-only?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2.      Integrisani informacioni sistem: </w:t>
      </w:r>
    </w:p>
    <w:p w:rsidR="00400548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Navedeno je da se sedam radnih stanica nalazi na udaljenim lokacijama i da za njih mora biti obezbeđeno nesmetano on line funkcionisanje. Pretpostavljamo da će tehničke uslove udaljenog pristupa obezbediti naručilac a da izvođač treba da obezbedi samo tehničku mogućnost da se softveru pristupi preko VPN ili na neki sličan način.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3.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      S obzirom da će u funkciji biti 35 radnih stanica preko kojih će se koristiti integrisani infomracioni system i da je predviđena MS SQL baza, da li to znači da naručilac već poseduje licencu za MS SQL (I koju) ili treba licencu uračiunati u ponudu.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4.      Tehnička specifikacija: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a.      tačka 23 </w:t>
      </w:r>
      <w:r w:rsidR="00DC694F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-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da li je za navedeni bilans na nivou obračunskih jedinica dovoljan tzv bruto bilans izve</w:t>
      </w:r>
      <w:r w:rsidR="00947E23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š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taj ili je potreban formalin Bilans stanja i Bilans uspeha koji se predaje sa završnim računom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b.      tačka 43 </w:t>
      </w:r>
      <w:r w:rsidR="00DC1379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-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da li mo</w:t>
      </w:r>
      <w:r w:rsidR="00947E23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ž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ete da detaljnije objasnite postupak koji želite da podržite ovim? Verovatno ste  prilikom definisanja zahteva imali na umu neko konkretno re</w:t>
      </w:r>
      <w:r w:rsidR="00947E23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š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enje koje ste koristili, ako je moguće objasnite šta želite tačno da postignete i u kojoj situaciji</w:t>
      </w:r>
    </w:p>
    <w:p w:rsidR="00114A9B" w:rsidRPr="00F474B5" w:rsidRDefault="002A75B0" w:rsidP="00114A9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c.      tačka 45 -  da li može pojašnjenje ove tačke, posebno šta podrazumevate pod automatskim kreiranjem uplate?</w:t>
      </w:r>
      <w:r w:rsidRPr="00F474B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br/>
      </w:r>
    </w:p>
    <w:p w:rsidR="002A75B0" w:rsidRPr="00F474B5" w:rsidRDefault="002A75B0" w:rsidP="00114A9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d.      tačka 54 -  štampa IOS-a do 365 dana i preko 365 dana. Da li ste mislili da je potrbna opcija Štampe IOS-a na recimo 1.10.2016 </w:t>
      </w:r>
      <w:r w:rsidR="00947E23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i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na 1.10.2017?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e.      tačka 327-334 </w:t>
      </w:r>
      <w:r w:rsidR="00DC1379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-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da li se pogonsko troškovno knjigovodstvo odnosi na evidentiranje promena na klasi 9 ili se odnosi na operativni rad nalogodavca I izvršilaca radova</w:t>
      </w:r>
    </w:p>
    <w:p w:rsidR="00D76D65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f.    Navedeno je da će za funkcionalnosti koje će biti ispitivane po modulima biti ispitivan određen broj funkcionalnosti. Da li skup funkcionalnosti koje će biti demonstrirane bira naručilac ili dobavljač</w:t>
      </w:r>
      <w:r w:rsidR="00D76D65"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softvera, budući da u tom trnutku još nije urađena implementacija?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lastRenderedPageBreak/>
        <w:t>6. Na koliko radnih stanica će se vršiti obračun i naplata komunalnih usluga sa sistemom prinudne naplate  i za koliko potrošača?</w:t>
      </w:r>
    </w:p>
    <w:p w:rsidR="002A75B0" w:rsidRPr="00F474B5" w:rsidRDefault="002A75B0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7. Sa koliko PDA uređaja se vrši unos očitanih stanja na vodomeru? </w:t>
      </w:r>
    </w:p>
    <w:p w:rsidR="002B3509" w:rsidRPr="00F474B5" w:rsidRDefault="002B3509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ODGOVORI NA PITANJA:</w:t>
      </w:r>
    </w:p>
    <w:p w:rsidR="002B3509" w:rsidRPr="00F474B5" w:rsidRDefault="002B3509" w:rsidP="002B350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Odgovor: 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Dva razloga su uticala na definisanje zahteva da svaka poslovna godina treba da bude razdvojena u zasebnu bazu podataka za određenu godinu i da svaka neaktivna godina mora biti dostupna isklju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č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ivo u režimu read-only.</w:t>
      </w:r>
    </w:p>
    <w:p w:rsidR="002B3509" w:rsidRPr="00F474B5" w:rsidRDefault="002B3509" w:rsidP="002B3509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Prvi razlog se bazira na potrebi da se obezbedi sigurnost podataka ranijih (neaktivnih) godina. Nedopustiva je i teoretska mogućnost brisanja ili izmene bilo kog podatka ranijih godina u tekućoj godini. Zbog toga je definisan zahtev da pristup podacima ranijih godina  bude u read-only režimu (i dopušten samo određenim korisnicima). </w:t>
      </w:r>
    </w:p>
    <w:p w:rsidR="002B3509" w:rsidRPr="00F474B5" w:rsidRDefault="002B3509" w:rsidP="002B3509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Drugi, važniji razlog je potencijalno opterećenje resursa servera (memorije i diskova) količinom podataka koje baza podataka jedne poslovne godine sadrži. Multiplikujući to sa količinom podataka za nekoliko sukcesivnih godina koje bi bili sadržani u jednoj bazi podataka postoji opravdana bojazan od usporavanja rada i ugrožavanja optimalnog rada sistema. Takođe, vremenom se smanjuje potreba za pristupom podacima ranijih godina te je moguće a i opravdano planirati rasterećenje resursa.</w:t>
      </w:r>
    </w:p>
    <w:p w:rsidR="002B3509" w:rsidRPr="00F474B5" w:rsidRDefault="002B3509" w:rsidP="002B3509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>Odgovor: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 Od Izvođača se očekuje da obezbedi funkcionisanje integrisane softverske aplikacije na radnim stanicama na udaljenim lokacijama i na sporim linkovima u on-line režimu (u realnom vremenu). Tehničke preduslove povezivanja lokacije na kojoj se nalazi server i udaljenih lokacija na kojima se nalaze radne stanice obezbeđuje Naručioc.</w:t>
      </w:r>
    </w:p>
    <w:p w:rsidR="00DC694F" w:rsidRPr="00F474B5" w:rsidRDefault="00DC694F" w:rsidP="00DC694F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694F" w:rsidRPr="00F474B5" w:rsidRDefault="00DC694F" w:rsidP="00DC694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>Odgovor: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 Naručilac ne poseduje licence za MS SQL bazu podataka, očekuje se da ponuda sadrži potreban broj licenci. </w:t>
      </w:r>
    </w:p>
    <w:p w:rsidR="00DC694F" w:rsidRPr="00F474B5" w:rsidRDefault="00DC694F" w:rsidP="00DC694F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694F" w:rsidRPr="00F474B5" w:rsidRDefault="00DC694F" w:rsidP="00DC694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sr-Latn-CS"/>
        </w:rPr>
        <w:t xml:space="preserve">a) Tačka 23.: </w:t>
      </w:r>
      <w:r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>Биланси на нивоу предузећа или нижих обрачунских јединица - по местима настанка трошкова и прихода.</w:t>
      </w:r>
    </w:p>
    <w:p w:rsidR="00DC694F" w:rsidRPr="00F474B5" w:rsidRDefault="00DC694F" w:rsidP="00DC694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Odgovor: </w:t>
      </w:r>
    </w:p>
    <w:p w:rsidR="00DC694F" w:rsidRPr="00F474B5" w:rsidRDefault="00DC694F" w:rsidP="00DC694F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Izrada bilansa na nivou preduzeća kao i na nivou nižih obračunskih jedinica pretpostavlja izradu Bruto bilansa, Bilansa stanja i Bilansa uspeha.</w:t>
      </w:r>
    </w:p>
    <w:p w:rsidR="00DC1379" w:rsidRPr="00F474B5" w:rsidRDefault="00DC1379" w:rsidP="00DC694F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1379" w:rsidRPr="00F474B5" w:rsidRDefault="00DC694F" w:rsidP="00DC137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ab/>
        <w:t xml:space="preserve">b) </w:t>
      </w:r>
      <w:r w:rsidR="00DC1379" w:rsidRPr="00F474B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sr-Latn-CS"/>
        </w:rPr>
        <w:t xml:space="preserve">Tačka 43.: </w:t>
      </w:r>
      <w:r w:rsidR="00DC1379"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>Књижење извода и благајне, користећи barcode скенер са раздвајањем уплата код књижења на конто редовног дуга, утуженог, судских такси и обрачунате и задужене камате.</w:t>
      </w:r>
    </w:p>
    <w:p w:rsidR="00DC1379" w:rsidRPr="00F474B5" w:rsidRDefault="00DC1379" w:rsidP="00DC1379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Odgovor: 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Kod rasknjižavanja izvoda i blagajne izvršiti razdvajanje rasknjižavanih iznosa na deo uplate koja se odnosi na redovan dug, deo koji je se odnosi na pla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ćanje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 po utuženjima, po sudskim taksama i na deo koji se odnosi na obračunate i zadužene kamate. Takođe se očekuje da slipovi po uplatama po računima mogu da se rasknjižavaju očitavanjem bar koda konkretnog slipa - računa.</w:t>
      </w:r>
    </w:p>
    <w:p w:rsidR="00DC1379" w:rsidRPr="00F474B5" w:rsidRDefault="00DC1379" w:rsidP="00DC1379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1379" w:rsidRPr="00F474B5" w:rsidRDefault="00DC1379" w:rsidP="00DC1379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ab/>
        <w:t xml:space="preserve">c) </w:t>
      </w:r>
      <w:r w:rsidRPr="00F474B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sr-Latn-CS"/>
        </w:rPr>
        <w:t xml:space="preserve">Tačka 45.: </w:t>
      </w:r>
      <w:r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>Исправка потраживања за фиксан број дана, као и аутоматско формирање уплата за купце који су на исправци у текућој години.</w:t>
      </w:r>
    </w:p>
    <w:p w:rsidR="00DC1379" w:rsidRPr="00F474B5" w:rsidRDefault="00DC1379" w:rsidP="00DC1379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Odgovor: Tačka 45 treba da glasi: </w:t>
      </w:r>
      <w:r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 xml:space="preserve">Исправка потраживања за фиксан број дана, као и аутоматско формирање </w:t>
      </w:r>
      <w:r w:rsidRPr="00F474B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sr-Latn-CS"/>
        </w:rPr>
        <w:t>naloga za knjiženje kod</w:t>
      </w:r>
      <w:r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 xml:space="preserve"> уплата за купце који су на исправци у текућој години. Skodno tome biće izmenjena konkursna dokumentacija.</w:t>
      </w:r>
    </w:p>
    <w:p w:rsidR="00DC1379" w:rsidRPr="00F474B5" w:rsidRDefault="00DC1379" w:rsidP="00DC1379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</w:pPr>
    </w:p>
    <w:p w:rsidR="00DC1379" w:rsidRPr="00F474B5" w:rsidRDefault="00DC1379" w:rsidP="00D11D25">
      <w:pPr>
        <w:pStyle w:val="NoSpacing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ab/>
        <w:t xml:space="preserve">d) </w:t>
      </w:r>
      <w:r w:rsidRPr="00F474B5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  <w:lang w:val="sr-Latn-CS"/>
        </w:rPr>
        <w:t xml:space="preserve">Tačka 54.: </w:t>
      </w:r>
      <w:r w:rsidRPr="00F474B5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  <w:lang w:val="sr-Latn-CS"/>
        </w:rPr>
        <w:t>Штампа извода отворених ставки до 365 дана и преко 365 дана</w:t>
      </w:r>
    </w:p>
    <w:p w:rsidR="00DC1379" w:rsidRPr="00F474B5" w:rsidRDefault="00DC1379" w:rsidP="00D11D2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Odgovor: 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Misli se na izradu izveštaja sa mogućnošću štampe Izvoda otvorenih stavki (IOS) za neplaćene obaveze koje su nastale u periodu do godinu dana od dana izrade Izvoda kao i posebnu izradu izveštaja svih neplaćenih obaveza gde nije od uticaja period nastanka obaveze.</w:t>
      </w:r>
    </w:p>
    <w:p w:rsidR="00D11D25" w:rsidRPr="00F474B5" w:rsidRDefault="00D11D25" w:rsidP="00D11D25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11D25" w:rsidRPr="00F474B5" w:rsidRDefault="00D11D25" w:rsidP="00D11D25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ab/>
        <w:t>e)</w:t>
      </w: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 Odgovor: 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Odnosi se na evidentiranje promena na klasi 9.</w:t>
      </w:r>
    </w:p>
    <w:p w:rsidR="00D11D25" w:rsidRPr="00F474B5" w:rsidRDefault="00D11D25" w:rsidP="00D11D25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11D25" w:rsidRPr="00F474B5" w:rsidRDefault="00D11D25" w:rsidP="00D11D2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ab/>
        <w:t>f)</w:t>
      </w: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 Odgovor:</w:t>
      </w:r>
    </w:p>
    <w:p w:rsidR="00DC694F" w:rsidRPr="00F474B5" w:rsidRDefault="00D11D25" w:rsidP="00DC694F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Već formiranu ček listu sa 50 funkcionalnosti koje odabere Naručilac će biti uručena Ponuđačima na otvaranju ponuda. </w:t>
      </w:r>
    </w:p>
    <w:p w:rsidR="00DC1379" w:rsidRPr="00F474B5" w:rsidRDefault="00DC1379" w:rsidP="00DC694F">
      <w:pPr>
        <w:pStyle w:val="NoSpacing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694F" w:rsidRPr="00F474B5" w:rsidRDefault="00DC694F" w:rsidP="00D11D25">
      <w:pPr>
        <w:pStyle w:val="ListParagraph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694F" w:rsidRPr="00F474B5" w:rsidRDefault="00D11D25" w:rsidP="00D11D25">
      <w:pPr>
        <w:pStyle w:val="ListParagraph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 xml:space="preserve">Odgovor: 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>Aplikaciju za obračun i naplatu vode koristi oko 12 korisnika. Trenutni broj potrošača je oko 16000 a planira se da bude maksimalno 25000 potrošača.</w:t>
      </w:r>
    </w:p>
    <w:p w:rsidR="003548B1" w:rsidRPr="00F474B5" w:rsidRDefault="003548B1" w:rsidP="003548B1">
      <w:pPr>
        <w:pStyle w:val="ListParagraph"/>
        <w:tabs>
          <w:tab w:val="left" w:pos="284"/>
        </w:tabs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3548B1" w:rsidRPr="00F474B5" w:rsidRDefault="003548B1" w:rsidP="00D11D25">
      <w:pPr>
        <w:pStyle w:val="ListParagraph"/>
        <w:numPr>
          <w:ilvl w:val="0"/>
          <w:numId w:val="3"/>
        </w:numPr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  <w:r w:rsidRPr="00F474B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sr-Latn-CS"/>
        </w:rPr>
        <w:t>Odgovor:</w:t>
      </w:r>
      <w:r w:rsidRPr="00F474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  <w:t xml:space="preserve"> Trenutno se ne vrši ni sa jednim, ali je u planu nabavka implementacija PDA uređaja.</w:t>
      </w:r>
    </w:p>
    <w:p w:rsidR="002B3509" w:rsidRPr="00F474B5" w:rsidRDefault="002B3509" w:rsidP="002B3509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CS"/>
        </w:rPr>
      </w:pPr>
    </w:p>
    <w:p w:rsidR="00DC7FF2" w:rsidRPr="00F474B5" w:rsidRDefault="00DC7FF2" w:rsidP="002A75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</w:pPr>
    </w:p>
    <w:sectPr w:rsidR="00DC7FF2" w:rsidRPr="00F474B5" w:rsidSect="001D75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3AD1"/>
    <w:multiLevelType w:val="hybridMultilevel"/>
    <w:tmpl w:val="0CF0AD1C"/>
    <w:lvl w:ilvl="0" w:tplc="9D147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3282"/>
    <w:multiLevelType w:val="hybridMultilevel"/>
    <w:tmpl w:val="3EE6859E"/>
    <w:lvl w:ilvl="0" w:tplc="45DC9914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073AE"/>
    <w:multiLevelType w:val="hybridMultilevel"/>
    <w:tmpl w:val="16620F80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B0"/>
    <w:rsid w:val="000918E4"/>
    <w:rsid w:val="000A37D9"/>
    <w:rsid w:val="00114A9B"/>
    <w:rsid w:val="00115AE8"/>
    <w:rsid w:val="001D7527"/>
    <w:rsid w:val="002863C1"/>
    <w:rsid w:val="002A75B0"/>
    <w:rsid w:val="002B3509"/>
    <w:rsid w:val="003548B1"/>
    <w:rsid w:val="003C75A0"/>
    <w:rsid w:val="00400548"/>
    <w:rsid w:val="005B56E7"/>
    <w:rsid w:val="006B1409"/>
    <w:rsid w:val="006C3A33"/>
    <w:rsid w:val="00797C30"/>
    <w:rsid w:val="00947E23"/>
    <w:rsid w:val="0099076E"/>
    <w:rsid w:val="00B75C42"/>
    <w:rsid w:val="00D11D25"/>
    <w:rsid w:val="00D76D65"/>
    <w:rsid w:val="00DC1379"/>
    <w:rsid w:val="00DC694F"/>
    <w:rsid w:val="00DC7FF2"/>
    <w:rsid w:val="00E613F9"/>
    <w:rsid w:val="00EF6DD6"/>
    <w:rsid w:val="00F4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A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A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Jovanka Stanković</cp:lastModifiedBy>
  <cp:revision>7</cp:revision>
  <cp:lastPrinted>2017-01-20T09:48:00Z</cp:lastPrinted>
  <dcterms:created xsi:type="dcterms:W3CDTF">2017-01-20T09:52:00Z</dcterms:created>
  <dcterms:modified xsi:type="dcterms:W3CDTF">2017-01-20T11:39:00Z</dcterms:modified>
</cp:coreProperties>
</file>